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AE8A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6EDD89B6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金融学综合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</w:t>
      </w:r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考试大纲</w:t>
      </w:r>
    </w:p>
    <w:p w14:paraId="4C2AAED5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 w14:paraId="6763BBE4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 w14:paraId="7FB09556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综合（科目代码：</w:t>
      </w:r>
      <w:r>
        <w:rPr>
          <w:rFonts w:hint="eastAsia" w:ascii="Times New Roman" w:hAnsi="Times New Roman" w:eastAsia="宋体" w:cs="Times New Roman"/>
          <w:sz w:val="28"/>
          <w:szCs w:val="32"/>
        </w:rPr>
        <w:t>431</w:t>
      </w:r>
      <w:r>
        <w:rPr>
          <w:rFonts w:ascii="Times New Roman" w:hAnsi="Times New Roman" w:eastAsia="宋体" w:cs="Times New Roman"/>
          <w:sz w:val="28"/>
          <w:szCs w:val="32"/>
        </w:rPr>
        <w:t>）包含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和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公司财务两</w:t>
      </w:r>
      <w:r>
        <w:rPr>
          <w:rFonts w:ascii="Times New Roman" w:hAnsi="Times New Roman" w:eastAsia="宋体" w:cs="Times New Roman"/>
          <w:sz w:val="28"/>
          <w:szCs w:val="32"/>
        </w:rPr>
        <w:t>部分考核内容。本考试大纲分别对</w:t>
      </w:r>
      <w:r>
        <w:rPr>
          <w:rFonts w:hint="eastAsia" w:ascii="Times New Roman" w:hAnsi="Times New Roman" w:eastAsia="宋体" w:cs="Times New Roman"/>
          <w:sz w:val="28"/>
          <w:szCs w:val="32"/>
        </w:rPr>
        <w:t>两</w:t>
      </w:r>
      <w:r>
        <w:rPr>
          <w:rFonts w:ascii="Times New Roman" w:hAnsi="Times New Roman" w:eastAsia="宋体" w:cs="Times New Roman"/>
          <w:sz w:val="28"/>
          <w:szCs w:val="32"/>
        </w:rPr>
        <w:t>部分的考核内容予以说明。</w:t>
      </w:r>
    </w:p>
    <w:p w14:paraId="6BB3E74D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 w14:paraId="42538A8F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金融学和公司财务的</w:t>
      </w:r>
      <w:r>
        <w:rPr>
          <w:rFonts w:ascii="Times New Roman" w:hAnsi="Times New Roman" w:eastAsia="宋体" w:cs="Times New Roman"/>
          <w:sz w:val="28"/>
          <w:szCs w:val="32"/>
        </w:rPr>
        <w:t>相关专业素质和基本能力。具体包括：</w:t>
      </w:r>
    </w:p>
    <w:p w14:paraId="007D4380">
      <w:pPr>
        <w:snapToGrid w:val="0"/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ascii="Times New Roman" w:hAnsi="Times New Roman" w:eastAsia="宋体" w:cs="Times New Roman"/>
          <w:sz w:val="28"/>
          <w:szCs w:val="32"/>
        </w:rPr>
        <w:t>1.测试考生对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的基本概念、基础</w:t>
      </w:r>
      <w:r>
        <w:rPr>
          <w:rFonts w:hint="eastAsia" w:ascii="Times New Roman" w:hAnsi="Times New Roman" w:eastAsia="宋体" w:cs="Times New Roman"/>
          <w:sz w:val="28"/>
          <w:szCs w:val="32"/>
        </w:rPr>
        <w:t>理论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掌握；</w:t>
      </w:r>
    </w:p>
    <w:p w14:paraId="668652A3">
      <w:pPr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基本计算和综合分析等基础理论运用能力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 w14:paraId="14609EF6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72DCFAA5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792ED69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</w:t>
      </w:r>
      <w:r>
        <w:rPr>
          <w:rFonts w:ascii="Times New Roman" w:hAnsi="Times New Roman" w:eastAsia="宋体" w:cs="Times New Roman"/>
          <w:sz w:val="28"/>
          <w:szCs w:val="32"/>
        </w:rPr>
        <w:t>50分，考试时间为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7CFCA27B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038C26A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733FFA41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426A1DCE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金融学（90分）</w:t>
      </w:r>
    </w:p>
    <w:p w14:paraId="7861EE1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1.多选题，共10分。</w:t>
      </w:r>
    </w:p>
    <w:p w14:paraId="2F6CCDAF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2.名词解释，共10分。</w:t>
      </w:r>
    </w:p>
    <w:p w14:paraId="0DA6F07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3.简答题，共50分。</w:t>
      </w:r>
    </w:p>
    <w:p w14:paraId="601865C7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4.论述题，共20分。</w:t>
      </w:r>
    </w:p>
    <w:p w14:paraId="7D4C02D4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（二）公司财务（60分）</w:t>
      </w:r>
    </w:p>
    <w:p w14:paraId="491B58AC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</w:rPr>
        <w:t>16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605070E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</w:rPr>
        <w:t>论述题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9702948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</w:rPr>
        <w:t>综合分析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</w:rPr>
        <w:t>24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789C1897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 w14:paraId="2CE75C34"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第一部分 金融学</w:t>
      </w:r>
    </w:p>
    <w:p w14:paraId="4D3533D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一、货币与货币制度</w:t>
      </w:r>
    </w:p>
    <w:p w14:paraId="6B760A8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1.货币的含义</w:t>
      </w:r>
    </w:p>
    <w:p w14:paraId="3F6031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2.货币的职能</w:t>
      </w:r>
    </w:p>
    <w:p w14:paraId="06A9BB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3.货币形式的演变</w:t>
      </w:r>
    </w:p>
    <w:p w14:paraId="188269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4.货币的计量</w:t>
      </w:r>
    </w:p>
    <w:p w14:paraId="237FF24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5.货币制度</w:t>
      </w:r>
    </w:p>
    <w:p w14:paraId="66BE42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二、金融机构体系</w:t>
      </w:r>
    </w:p>
    <w:p w14:paraId="3541AC1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1.金融机构体系概述</w:t>
      </w:r>
    </w:p>
    <w:p w14:paraId="2A49AAD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2.金融机构存在的理论基础</w:t>
      </w:r>
    </w:p>
    <w:p w14:paraId="57DB5E7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3.金融机构体系的构成</w:t>
      </w:r>
    </w:p>
    <w:p w14:paraId="055435B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三、利息与利率</w:t>
      </w:r>
    </w:p>
    <w:p w14:paraId="42F9F69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1.利息与利率概述</w:t>
      </w:r>
    </w:p>
    <w:p w14:paraId="145C76C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2.利率的计算与运用</w:t>
      </w:r>
    </w:p>
    <w:p w14:paraId="7B458CA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3.利率决定理论</w:t>
      </w:r>
    </w:p>
    <w:p w14:paraId="530C8F6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4.利率结构决定理论</w:t>
      </w:r>
    </w:p>
    <w:p w14:paraId="2575521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5.利率的作用</w:t>
      </w:r>
    </w:p>
    <w:p w14:paraId="784A377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四、金融市场及其构成</w:t>
      </w:r>
    </w:p>
    <w:p w14:paraId="0475A6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1.金融市场概述</w:t>
      </w:r>
    </w:p>
    <w:p w14:paraId="0EE51B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2.货币市场</w:t>
      </w:r>
    </w:p>
    <w:p w14:paraId="590F164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3.资本市场</w:t>
      </w:r>
    </w:p>
    <w:p w14:paraId="38FBF9E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五、金融衍生工具市场</w:t>
      </w:r>
    </w:p>
    <w:p w14:paraId="753FD2F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1.金融衍生工具市场概述</w:t>
      </w:r>
    </w:p>
    <w:p w14:paraId="5AEB168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2.金融远期市场</w:t>
      </w:r>
    </w:p>
    <w:p w14:paraId="7F4256D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3.金融期货市场</w:t>
      </w:r>
    </w:p>
    <w:p w14:paraId="070E3C5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4.金融期权交易</w:t>
      </w:r>
    </w:p>
    <w:p w14:paraId="3E6D75A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5.金融互换交易</w:t>
      </w:r>
    </w:p>
    <w:p w14:paraId="5C3AED2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6.信用衍生产品交易</w:t>
      </w:r>
    </w:p>
    <w:p w14:paraId="2CB653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六、商业银行及经营管理</w:t>
      </w:r>
    </w:p>
    <w:p w14:paraId="555024E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1.商业银行概述</w:t>
      </w:r>
    </w:p>
    <w:p w14:paraId="32ED2DE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2.商业银行的资产负债表业务</w:t>
      </w:r>
    </w:p>
    <w:p w14:paraId="08CC2AA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3.商业银行的表外业务</w:t>
      </w:r>
    </w:p>
    <w:p w14:paraId="0E03238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4.商业银行的经营管理</w:t>
      </w:r>
    </w:p>
    <w:p w14:paraId="09EBFBC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七、中央银行</w:t>
      </w:r>
    </w:p>
    <w:p w14:paraId="08244F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1.中央银行的产生与发展</w:t>
      </w:r>
    </w:p>
    <w:p w14:paraId="52A517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2.中央银行制度</w:t>
      </w:r>
    </w:p>
    <w:p w14:paraId="274C856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3.中央银行的性质与职能</w:t>
      </w:r>
    </w:p>
    <w:p w14:paraId="310EABD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4.中央银行的主要业务</w:t>
      </w:r>
    </w:p>
    <w:p w14:paraId="4CCF4E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八、银行监管</w:t>
      </w:r>
    </w:p>
    <w:p w14:paraId="5BF273B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1.银行监管的必要性</w:t>
      </w:r>
    </w:p>
    <w:p w14:paraId="40DE4DF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2.银行监管的理论依据</w:t>
      </w:r>
    </w:p>
    <w:p w14:paraId="0416B89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3.金融监管体制</w:t>
      </w:r>
    </w:p>
    <w:p w14:paraId="5AAEF80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4.银行监管的主要内容</w:t>
      </w:r>
    </w:p>
    <w:p w14:paraId="3C8D08E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5.银行监管的国际合作：《巴塞尔协议》</w:t>
      </w:r>
    </w:p>
    <w:p w14:paraId="7FDBC7D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九、货币政策</w:t>
      </w:r>
    </w:p>
    <w:p w14:paraId="4BE5563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1.货币政策目标</w:t>
      </w:r>
    </w:p>
    <w:p w14:paraId="02A86CE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2.货币政策工具</w:t>
      </w:r>
    </w:p>
    <w:p w14:paraId="2B647B8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3.货币政策传导机制</w:t>
      </w:r>
    </w:p>
    <w:p w14:paraId="54FF4A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4.货币政策效果的影响因素</w:t>
      </w:r>
    </w:p>
    <w:p w14:paraId="4B7D381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十、货币供求</w:t>
      </w:r>
    </w:p>
    <w:p w14:paraId="75CCBE0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1.货币需求理论</w:t>
      </w:r>
    </w:p>
    <w:p w14:paraId="0B2C142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2.货币供给机制</w:t>
      </w:r>
    </w:p>
    <w:p w14:paraId="1A927D3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十一、通货膨胀与通货紧缩</w:t>
      </w:r>
    </w:p>
    <w:p w14:paraId="42DD9A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1.通货膨胀的定义及其测量</w:t>
      </w:r>
    </w:p>
    <w:p w14:paraId="207C93F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2.通货膨胀的成因与类型</w:t>
      </w:r>
    </w:p>
    <w:p w14:paraId="059FD21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3.通货膨胀的社会经济效应</w:t>
      </w:r>
    </w:p>
    <w:p w14:paraId="0EE1D74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4.通货紧缩</w:t>
      </w:r>
    </w:p>
    <w:p w14:paraId="6BB0A5C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5.治理通货膨胀和通货紧缩的对策</w:t>
      </w:r>
    </w:p>
    <w:p w14:paraId="3793ADA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十一、货币政策</w:t>
      </w:r>
    </w:p>
    <w:p w14:paraId="76DEC8C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1.通货膨胀的定义及其度量</w:t>
      </w:r>
    </w:p>
    <w:p w14:paraId="36334C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2.通货膨胀形成的原因</w:t>
      </w:r>
    </w:p>
    <w:p w14:paraId="1373F8B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3.通货膨胀的经济效应</w:t>
      </w:r>
    </w:p>
    <w:p w14:paraId="6CD9DEB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4.通货紧缩的含义及成因</w:t>
      </w:r>
    </w:p>
    <w:p w14:paraId="0A35BDC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5.治理通货膨胀和通货紧缩的对策</w:t>
      </w:r>
    </w:p>
    <w:p w14:paraId="62A381D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十二、开放金融体系概览</w:t>
      </w:r>
    </w:p>
    <w:p w14:paraId="0EF3576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1.外汇与汇率</w:t>
      </w:r>
    </w:p>
    <w:p w14:paraId="7A069AF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2.汇率制度安排</w:t>
      </w:r>
    </w:p>
    <w:p w14:paraId="1679000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3.国际货币体系</w:t>
      </w:r>
    </w:p>
    <w:p w14:paraId="418D51B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4.国际金融机构体系</w:t>
      </w:r>
    </w:p>
    <w:p w14:paraId="19CC4A7C">
      <w:pPr>
        <w:jc w:val="left"/>
        <w:rPr>
          <w:rFonts w:ascii="Times New Roman" w:hAnsi="Times New Roman" w:eastAsia="宋体" w:cs="Times New Roman"/>
          <w:sz w:val="28"/>
          <w:szCs w:val="32"/>
        </w:rPr>
      </w:pPr>
    </w:p>
    <w:p w14:paraId="64CCE13B"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</w:t>
      </w:r>
    </w:p>
    <w:p w14:paraId="0428517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一、绪论</w:t>
      </w:r>
    </w:p>
    <w:p w14:paraId="54A09C0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公司财务的基本内容</w:t>
      </w:r>
    </w:p>
    <w:p w14:paraId="269CF3F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公司财务的目标</w:t>
      </w:r>
    </w:p>
    <w:p w14:paraId="71F89BB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3.公司财务与会计的区别</w:t>
      </w:r>
    </w:p>
    <w:p w14:paraId="6063C0C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二、资金的时间价值</w:t>
      </w:r>
    </w:p>
    <w:p w14:paraId="0EDF8BA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1.时间价值与现金流量</w:t>
      </w:r>
    </w:p>
    <w:p w14:paraId="1F1504E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2.时间价值的计算</w:t>
      </w:r>
    </w:p>
    <w:p w14:paraId="75DE9A9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3.年金及其复利终值与现值的计算</w:t>
      </w:r>
    </w:p>
    <w:p w14:paraId="54805F4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三、权益资本筹资</w:t>
      </w:r>
    </w:p>
    <w:p w14:paraId="6D1DD54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创业融资</w:t>
      </w:r>
    </w:p>
    <w:p w14:paraId="5EFF8DC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2.首次公开发行(IPO)融资</w:t>
      </w:r>
    </w:p>
    <w:p w14:paraId="66E59BA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3.普通股的再融资</w:t>
      </w:r>
    </w:p>
    <w:p w14:paraId="4BE5627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4.发行普通股筹资的成本</w:t>
      </w:r>
    </w:p>
    <w:p w14:paraId="7A5ABCD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5.发行普通股筹资的利弊</w:t>
      </w:r>
    </w:p>
    <w:p w14:paraId="73A8F46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6.优先股筹资</w:t>
      </w:r>
    </w:p>
    <w:p w14:paraId="688FDD8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四、债务与租赁融资</w:t>
      </w:r>
    </w:p>
    <w:p w14:paraId="5A3E3F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1.债券筹资</w:t>
      </w:r>
    </w:p>
    <w:p w14:paraId="7C8C057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债券的评级</w:t>
      </w:r>
    </w:p>
    <w:p w14:paraId="58B55B3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债券的偿还</w:t>
      </w:r>
    </w:p>
    <w:p w14:paraId="10E3E5E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长期借款筹资</w:t>
      </w:r>
    </w:p>
    <w:p w14:paraId="0826665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5.租赁融资</w:t>
      </w:r>
    </w:p>
    <w:p w14:paraId="6D2A3D9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五、资本成本</w:t>
      </w:r>
    </w:p>
    <w:p w14:paraId="0B5FF54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1.资本成本的概念</w:t>
      </w:r>
    </w:p>
    <w:p w14:paraId="63F2421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个别资本成本</w:t>
      </w:r>
    </w:p>
    <w:p w14:paraId="6CEBDED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加权平均资本成本</w:t>
      </w:r>
    </w:p>
    <w:p w14:paraId="4F74247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4.资本成本与投资决策</w:t>
      </w:r>
    </w:p>
    <w:p w14:paraId="28122F3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六、资本结构决策</w:t>
      </w:r>
    </w:p>
    <w:p w14:paraId="085DE1B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杠杆利益</w:t>
      </w:r>
    </w:p>
    <w:p w14:paraId="6C20D38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资本结构</w:t>
      </w:r>
    </w:p>
    <w:p w14:paraId="5689842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MM理论</w:t>
      </w:r>
    </w:p>
    <w:p w14:paraId="59D042E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 优序融资理论</w:t>
      </w:r>
    </w:p>
    <w:p w14:paraId="484EFC2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 xml:space="preserve">5. </w:t>
      </w:r>
      <w:r>
        <w:rPr>
          <w:rFonts w:hint="eastAsia" w:ascii="Times New Roman" w:hAnsi="Times New Roman" w:eastAsia="宋体" w:cs="Times New Roman"/>
          <w:sz w:val="28"/>
          <w:szCs w:val="32"/>
        </w:rPr>
        <w:t>企业资本结构的确定</w:t>
      </w:r>
    </w:p>
    <w:p w14:paraId="6D51ADF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七、风险收益与证券市场理论</w:t>
      </w:r>
    </w:p>
    <w:p w14:paraId="33EEFE8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风险及其衡量</w:t>
      </w:r>
    </w:p>
    <w:p w14:paraId="228A06E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风险与效用</w:t>
      </w:r>
    </w:p>
    <w:p w14:paraId="7C7A7FA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投资组合的风险与收益</w:t>
      </w:r>
    </w:p>
    <w:p w14:paraId="16621C5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证券市场上收益与风险的关系</w:t>
      </w:r>
    </w:p>
    <w:p w14:paraId="1E1968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八、债券及其估价</w:t>
      </w:r>
    </w:p>
    <w:p w14:paraId="1D737EB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1.债券的概念及特征</w:t>
      </w:r>
    </w:p>
    <w:p w14:paraId="26855CE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2.债券的价值与利率</w:t>
      </w:r>
    </w:p>
    <w:p w14:paraId="7FED662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3.债券的估值</w:t>
      </w:r>
    </w:p>
    <w:p w14:paraId="2607265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九、股票估值</w:t>
      </w:r>
    </w:p>
    <w:p w14:paraId="122FC56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普通股与优先股的基本概念</w:t>
      </w:r>
    </w:p>
    <w:p w14:paraId="0CE6031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普通股估值</w:t>
      </w:r>
    </w:p>
    <w:p w14:paraId="61C56AC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股利估值模型</w:t>
      </w:r>
    </w:p>
    <w:p w14:paraId="0E4C636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4.股票投资的特点</w:t>
      </w:r>
    </w:p>
    <w:p w14:paraId="6E1959A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十、资本投资与决策指标</w:t>
      </w:r>
    </w:p>
    <w:p w14:paraId="08854F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1.资本投资过程分析</w:t>
      </w:r>
    </w:p>
    <w:p w14:paraId="792C9F2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2.贴现指标及其计算</w:t>
      </w:r>
    </w:p>
    <w:p w14:paraId="7FEEFE8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3.非贴现指标及其计算</w:t>
      </w:r>
    </w:p>
    <w:p w14:paraId="044FF2A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4.资本限量条件下的投资决策</w:t>
      </w:r>
    </w:p>
    <w:p w14:paraId="6B684BE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十一、资本预算分析</w:t>
      </w:r>
    </w:p>
    <w:p w14:paraId="1C44DC2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1.项目现金流分析</w:t>
      </w:r>
    </w:p>
    <w:p w14:paraId="22723DE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 净现值运用</w:t>
      </w:r>
    </w:p>
    <w:p w14:paraId="1535656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3.几种典型的资本投资决策</w:t>
      </w:r>
    </w:p>
    <w:p w14:paraId="53605C7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不确定性条件下的资本投资分析</w:t>
      </w:r>
    </w:p>
    <w:p w14:paraId="7341573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十二、营运资金管理</w:t>
      </w:r>
    </w:p>
    <w:p w14:paraId="3804514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1.营运资金概念与作用</w:t>
      </w:r>
    </w:p>
    <w:p w14:paraId="3D5EEC9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现金管理</w:t>
      </w:r>
    </w:p>
    <w:p w14:paraId="5BB8490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应收账款管理</w:t>
      </w:r>
    </w:p>
    <w:p w14:paraId="516DA3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存货管理</w:t>
      </w:r>
    </w:p>
    <w:p w14:paraId="262F85C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十三、股利理论与分配政策</w:t>
      </w:r>
    </w:p>
    <w:p w14:paraId="4A1F369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1.利润分配的程序</w:t>
      </w:r>
    </w:p>
    <w:p w14:paraId="536DA8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利润分配与公司价值</w:t>
      </w:r>
    </w:p>
    <w:p w14:paraId="26C129F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股利政策及其选择</w:t>
      </w:r>
    </w:p>
    <w:p w14:paraId="7FE6E54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股票分割与股票回购</w:t>
      </w:r>
    </w:p>
    <w:p w14:paraId="283D4C0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十四、公司并购与重组</w:t>
      </w:r>
    </w:p>
    <w:p w14:paraId="7C8EB9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公司并购</w:t>
      </w:r>
    </w:p>
    <w:p w14:paraId="6690EB6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 公司重组</w:t>
      </w:r>
    </w:p>
    <w:p w14:paraId="0FA9364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ascii="Times New Roman" w:hAnsi="Times New Roman" w:eastAsia="宋体" w:cs="Times New Roman"/>
          <w:sz w:val="28"/>
          <w:szCs w:val="32"/>
        </w:rPr>
        <w:t>. 财务预警</w:t>
      </w:r>
    </w:p>
    <w:p w14:paraId="378EB7C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 公司破产、重整与清算</w:t>
      </w:r>
    </w:p>
    <w:p w14:paraId="4C5A90EF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Ⅵ.参考书目</w:t>
      </w:r>
    </w:p>
    <w:p w14:paraId="0341A6A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1.《货币金融学》（第三版），蒋先玲编著，机械工业出版社，2021年7月</w:t>
      </w:r>
    </w:p>
    <w:p w14:paraId="5A73708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2.《货币金融学》，钱水土等编著，机械工业出版社，2020年4月</w:t>
      </w:r>
    </w:p>
    <w:p w14:paraId="4813A28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3.（美）弗里德曼•S •米什金（Frederic S•Mishkin）：货币金融学（第十一版），中国人民大学出版社，2016年9月</w:t>
      </w:r>
    </w:p>
    <w:p w14:paraId="63C443DF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王化成、刘俊彦、荆新.</w:t>
      </w:r>
      <w:r>
        <w:rPr>
          <w:rFonts w:ascii="Times New Roman" w:hAnsi="Times New Roman" w:eastAsia="宋体" w:cs="Times New Roman"/>
          <w:sz w:val="28"/>
          <w:szCs w:val="32"/>
        </w:rPr>
        <w:t>财务管理学（第9版）［M］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ascii="Times New Roman" w:hAnsi="Times New Roman" w:eastAsia="宋体" w:cs="Times New Roman"/>
          <w:sz w:val="28"/>
          <w:szCs w:val="32"/>
        </w:rPr>
        <w:t>中国人民大学出版社2021</w:t>
      </w:r>
      <w:r>
        <w:rPr>
          <w:rFonts w:hint="eastAsia" w:ascii="Times New Roman" w:hAnsi="Times New Roman" w:eastAsia="宋体" w:cs="Times New Roman"/>
          <w:sz w:val="28"/>
          <w:szCs w:val="32"/>
        </w:rPr>
        <w:t>年</w:t>
      </w:r>
    </w:p>
    <w:p w14:paraId="445A7EE9">
      <w:pPr>
        <w:rPr>
          <w:rFonts w:ascii="Times New Roman" w:hAnsi="Times New Roman" w:eastAsia="宋体" w:cs="Times New Roman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E013D"/>
    <w:multiLevelType w:val="singleLevel"/>
    <w:tmpl w:val="1F2E01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CE3146"/>
    <w:multiLevelType w:val="singleLevel"/>
    <w:tmpl w:val="4CCE31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11820"/>
    <w:rsid w:val="00037B57"/>
    <w:rsid w:val="000664C2"/>
    <w:rsid w:val="000E7CC3"/>
    <w:rsid w:val="001755ED"/>
    <w:rsid w:val="001C3070"/>
    <w:rsid w:val="0026432B"/>
    <w:rsid w:val="002D6FEA"/>
    <w:rsid w:val="00337D59"/>
    <w:rsid w:val="0049547C"/>
    <w:rsid w:val="005461B0"/>
    <w:rsid w:val="00552800"/>
    <w:rsid w:val="00613B7A"/>
    <w:rsid w:val="00695230"/>
    <w:rsid w:val="00712F11"/>
    <w:rsid w:val="00724D7B"/>
    <w:rsid w:val="007A7A20"/>
    <w:rsid w:val="00894F10"/>
    <w:rsid w:val="008D4CA7"/>
    <w:rsid w:val="00956A07"/>
    <w:rsid w:val="00987D92"/>
    <w:rsid w:val="00A02D0E"/>
    <w:rsid w:val="00A206A2"/>
    <w:rsid w:val="00AD42B3"/>
    <w:rsid w:val="00B13EA2"/>
    <w:rsid w:val="00B273DA"/>
    <w:rsid w:val="00BF4755"/>
    <w:rsid w:val="00C1163F"/>
    <w:rsid w:val="00D12F27"/>
    <w:rsid w:val="00DC2CD1"/>
    <w:rsid w:val="00E65920"/>
    <w:rsid w:val="00F62F7F"/>
    <w:rsid w:val="00FF0714"/>
    <w:rsid w:val="0ABA0F07"/>
    <w:rsid w:val="0CFE5A0D"/>
    <w:rsid w:val="17F67C32"/>
    <w:rsid w:val="1FC717AE"/>
    <w:rsid w:val="2DCA1EFA"/>
    <w:rsid w:val="340240F4"/>
    <w:rsid w:val="4574107A"/>
    <w:rsid w:val="48E871B2"/>
    <w:rsid w:val="6D596017"/>
    <w:rsid w:val="797B4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2"/>
    <w:semiHidden/>
    <w:qFormat/>
    <w:uiPriority w:val="0"/>
    <w:rPr>
      <w:b/>
      <w:bCs/>
    </w:r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Char"/>
    <w:basedOn w:val="11"/>
    <w:link w:val="6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1704</Words>
  <Characters>1881</Characters>
  <Lines>14</Lines>
  <Paragraphs>4</Paragraphs>
  <TotalTime>17</TotalTime>
  <ScaleCrop>false</ScaleCrop>
  <LinksUpToDate>false</LinksUpToDate>
  <CharactersWithSpaces>1919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西农经管杨维</cp:lastModifiedBy>
  <cp:lastPrinted>2020-08-28T09:50:00Z</cp:lastPrinted>
  <dcterms:modified xsi:type="dcterms:W3CDTF">2025-09-30T09:13:31Z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48DCAAB728024FBBB388AC8836A8081F_13</vt:lpwstr>
  </property>
  <property fmtid="{D5CDD505-2E9C-101B-9397-08002B2CF9AE}" pid="4" name="KSOTemplateDocerSaveRecord">
    <vt:lpwstr>eyJoZGlkIjoiYTE5M2RjYjUzMWUwMjc4MDc3NmJmMzc0ZTE2ZGVhNDUiLCJ1c2VySWQiOiIyNTY1MjE2OTkifQ==</vt:lpwstr>
  </property>
</Properties>
</file>